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20" w:beforeLines="50" w:after="120" w:afterLines="50" w:line="360" w:lineRule="auto"/>
        <w:jc w:val="center"/>
        <w:rPr>
          <w:rFonts w:hint="default" w:cs="Times New Roman" w:asciiTheme="minorEastAsia" w:hAnsiTheme="minorEastAsia" w:eastAsiaTheme="minorEastAsia"/>
          <w:szCs w:val="23"/>
          <w:lang w:val="en-US"/>
        </w:rPr>
      </w:pPr>
      <w:r>
        <w:rPr>
          <w:rFonts w:hint="eastAsia" w:cs="Times New Roman" w:asciiTheme="minorEastAsia" w:hAnsiTheme="minorEastAsia" w:eastAsiaTheme="minorEastAsia"/>
          <w:szCs w:val="23"/>
        </w:rPr>
        <w:t xml:space="preserve">证券代码：002871           证券简称：伟隆股份 </w:t>
      </w:r>
      <w:r>
        <w:rPr>
          <w:rFonts w:hint="default" w:cs="Times New Roman" w:asciiTheme="minorEastAsia" w:hAnsiTheme="minorEastAsia" w:eastAsiaTheme="minorEastAsia"/>
          <w:szCs w:val="23"/>
          <w:lang w:val="en-US"/>
        </w:rPr>
        <w:t xml:space="preserve"> </w:t>
      </w:r>
      <w:r>
        <w:rPr>
          <w:rFonts w:hint="eastAsia" w:cs="Times New Roman" w:asciiTheme="minorEastAsia" w:hAnsiTheme="minorEastAsia" w:eastAsiaTheme="minorEastAsia"/>
          <w:szCs w:val="23"/>
        </w:rPr>
        <w:t xml:space="preserve">    公告编号：202</w:t>
      </w:r>
      <w:r>
        <w:rPr>
          <w:rFonts w:cs="Times New Roman" w:asciiTheme="minorEastAsia" w:hAnsiTheme="minorEastAsia" w:eastAsiaTheme="minorEastAsia"/>
          <w:szCs w:val="23"/>
        </w:rPr>
        <w:t>3</w:t>
      </w:r>
      <w:r>
        <w:rPr>
          <w:rFonts w:hint="eastAsia" w:cs="Times New Roman" w:asciiTheme="minorEastAsia" w:hAnsiTheme="minorEastAsia" w:eastAsiaTheme="minorEastAsia"/>
          <w:szCs w:val="23"/>
        </w:rPr>
        <w:t>-</w:t>
      </w:r>
      <w:r>
        <w:rPr>
          <w:rFonts w:hint="default" w:cs="Times New Roman" w:asciiTheme="minorEastAsia" w:hAnsiTheme="minorEastAsia" w:eastAsiaTheme="minorEastAsia"/>
          <w:szCs w:val="23"/>
          <w:lang w:val="en-US"/>
        </w:rPr>
        <w:t>114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120" w:lineRule="auto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4"/>
        </w:rPr>
        <w:t>青岛伟隆阀门股份有限公司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120" w:lineRule="auto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4"/>
        </w:rPr>
        <w:t>关于完成工商变更登记的公告</w:t>
      </w:r>
    </w:p>
    <w:tbl>
      <w:tblPr>
        <w:tblStyle w:val="7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63" w:firstLineChars="193"/>
              <w:rPr>
                <w:b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424" w:firstLineChars="193"/>
      </w:pP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青岛伟隆阀门股份有限公司（以下简称“公司”）</w:t>
      </w:r>
      <w:r>
        <w:rPr>
          <w:rFonts w:hint="eastAsia" w:asciiTheme="minorEastAsia" w:hAnsiTheme="minorEastAsia" w:eastAsiaTheme="minorEastAsia"/>
          <w:sz w:val="24"/>
          <w:szCs w:val="23"/>
        </w:rPr>
        <w:t>2021年限制性股票激励计划首次授予部分的激励对象1名激励对象由于离职，不符合解锁条件，其所持有的未解禁部分股票全部由公司回购注销；</w:t>
      </w:r>
      <w:bookmarkStart w:id="0" w:name="_Hlk117256671"/>
      <w:r>
        <w:rPr>
          <w:rFonts w:hint="eastAsia" w:asciiTheme="minorEastAsia" w:hAnsiTheme="minorEastAsia" w:eastAsiaTheme="minorEastAsia"/>
          <w:sz w:val="24"/>
          <w:szCs w:val="23"/>
        </w:rPr>
        <w:t>1名激励对象绩效考核为不合格，不符合解锁条件；2名激励对象绩效考核为合格，可以申请解除当期80%限售股份；1名激励对象绩效考核为良好，可以申请解除当期90%限售股份</w:t>
      </w:r>
      <w:bookmarkEnd w:id="0"/>
      <w:r>
        <w:rPr>
          <w:rFonts w:hint="eastAsia" w:asciiTheme="minorEastAsia" w:hAnsiTheme="minorEastAsia" w:eastAsiaTheme="minorEastAsia"/>
          <w:sz w:val="24"/>
          <w:szCs w:val="23"/>
        </w:rPr>
        <w:t>；</w:t>
      </w:r>
      <w:bookmarkStart w:id="1" w:name="_Hlk147838123"/>
      <w:r>
        <w:rPr>
          <w:rFonts w:hint="eastAsia" w:asciiTheme="minorEastAsia" w:hAnsiTheme="minorEastAsia" w:eastAsiaTheme="minorEastAsia"/>
          <w:sz w:val="24"/>
          <w:szCs w:val="23"/>
        </w:rPr>
        <w:t>前述4名激励对象其所持有的本期未解禁部分股票全部由公司回购注销</w:t>
      </w:r>
      <w:bookmarkEnd w:id="1"/>
      <w:r>
        <w:rPr>
          <w:rFonts w:hint="eastAsia" w:asciiTheme="minorEastAsia" w:hAnsiTheme="minorEastAsia" w:eastAsiaTheme="minorEastAsia"/>
          <w:sz w:val="24"/>
          <w:szCs w:val="23"/>
        </w:rPr>
        <w:t>。2021年限制性股票激励计划激励预留部分的激励对象3名人员因个人原因离职，不符合解锁条件，其所持有的未解禁部分股票全部由公司回购注销。根据公司《20</w:t>
      </w:r>
      <w:r>
        <w:rPr>
          <w:rFonts w:asciiTheme="minorEastAsia" w:hAnsiTheme="minorEastAsia" w:eastAsiaTheme="minorEastAsia"/>
          <w:sz w:val="24"/>
          <w:szCs w:val="23"/>
        </w:rPr>
        <w:t>21</w:t>
      </w:r>
      <w:r>
        <w:rPr>
          <w:rFonts w:hint="eastAsia" w:asciiTheme="minorEastAsia" w:hAnsiTheme="minorEastAsia" w:eastAsiaTheme="minorEastAsia"/>
          <w:sz w:val="24"/>
          <w:szCs w:val="23"/>
        </w:rPr>
        <w:t>年限制性股票激励计划（草案修订稿）》（以下简称“激励计划”）的规定，公司董事会决定对激励对象已获授但尚未解锁的171,405股限制性股票进行回购注销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，经202</w:t>
      </w:r>
      <w:r>
        <w:rPr>
          <w:rFonts w:hint="default" w:cs="宋体" w:asciiTheme="minorEastAsia" w:hAnsiTheme="minorEastAsia" w:eastAsiaTheme="minorEastAsia"/>
          <w:sz w:val="24"/>
          <w:szCs w:val="23"/>
          <w:lang w:val="en-US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年10月</w:t>
      </w:r>
      <w:r>
        <w:rPr>
          <w:rFonts w:hint="default" w:cs="宋体" w:asciiTheme="minorEastAsia" w:hAnsiTheme="minorEastAsia" w:eastAsiaTheme="minorEastAsia"/>
          <w:sz w:val="24"/>
          <w:szCs w:val="23"/>
          <w:lang w:val="en-US"/>
        </w:rPr>
        <w:t>18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日召开的第四届董事会第</w:t>
      </w:r>
      <w:r>
        <w:rPr>
          <w:rFonts w:hint="eastAsia" w:asciiTheme="minorEastAsia" w:hAnsiTheme="minorEastAsia" w:eastAsiaTheme="minorEastAsia"/>
          <w:sz w:val="24"/>
          <w:szCs w:val="23"/>
        </w:rPr>
        <w:t>二十六次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会议和202</w:t>
      </w:r>
      <w:r>
        <w:rPr>
          <w:rFonts w:hint="default" w:cs="宋体" w:asciiTheme="minorEastAsia" w:hAnsiTheme="minorEastAsia" w:eastAsiaTheme="minorEastAsia"/>
          <w:sz w:val="24"/>
          <w:szCs w:val="23"/>
          <w:lang w:val="en-US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年11月</w:t>
      </w:r>
      <w:r>
        <w:rPr>
          <w:rFonts w:hint="default" w:cs="宋体" w:asciiTheme="minorEastAsia" w:hAnsiTheme="minorEastAsia" w:eastAsiaTheme="minorEastAsia"/>
          <w:sz w:val="24"/>
          <w:szCs w:val="23"/>
          <w:lang w:val="en-US"/>
        </w:rPr>
        <w:t>03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日召开的202</w:t>
      </w:r>
      <w:r>
        <w:rPr>
          <w:rFonts w:hint="default" w:cs="宋体" w:asciiTheme="minorEastAsia" w:hAnsiTheme="minorEastAsia" w:eastAsiaTheme="minorEastAsia"/>
          <w:sz w:val="24"/>
          <w:szCs w:val="23"/>
          <w:lang w:val="en-US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年第</w:t>
      </w:r>
      <w:r>
        <w:rPr>
          <w:rFonts w:hint="eastAsia" w:cs="宋体" w:asciiTheme="minorEastAsia" w:hAnsiTheme="minorEastAsia" w:eastAsiaTheme="minorEastAsia"/>
          <w:sz w:val="24"/>
          <w:szCs w:val="23"/>
          <w:lang w:eastAsia="zh-CN"/>
        </w:rPr>
        <w:t>三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次临时股东大会审议，同意对该部分已授予但尚未解除限售的限制性股票</w:t>
      </w:r>
      <w:r>
        <w:rPr>
          <w:rFonts w:hint="eastAsia" w:asciiTheme="minorEastAsia" w:hAnsiTheme="minorEastAsia" w:eastAsiaTheme="minorEastAsia"/>
          <w:sz w:val="24"/>
          <w:szCs w:val="23"/>
        </w:rPr>
        <w:t>171,405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股进行回购注销。 具体内容分别详见202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年10月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19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日、202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年11月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04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日公司刊登于指定信息披露媒体《中国证券报》《证券时报》《证券日报》和巨潮资讯网（http://www.cninfo.com.cn ）上的《青岛伟隆阀门股份有限公司第四届董事会第</w:t>
      </w:r>
      <w:r>
        <w:rPr>
          <w:rFonts w:hint="eastAsia" w:asciiTheme="minorEastAsia" w:hAnsiTheme="minorEastAsia" w:eastAsiaTheme="minorEastAsia"/>
          <w:sz w:val="24"/>
          <w:szCs w:val="23"/>
        </w:rPr>
        <w:t>二十六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次会议决议的公告》《青岛伟隆阀门股份有限公司202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年第</w:t>
      </w:r>
      <w:r>
        <w:rPr>
          <w:rFonts w:hint="eastAsia" w:cs="宋体" w:asciiTheme="minorEastAsia" w:hAnsiTheme="minorEastAsia" w:eastAsiaTheme="minorEastAsia"/>
          <w:sz w:val="24"/>
          <w:szCs w:val="23"/>
          <w:lang w:eastAsia="zh-CN"/>
        </w:rPr>
        <w:t>三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次临时股东大会会议决议的公告》。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针对上述事项公司现已办理完成相关的工商变更登记及修改《公司章程》备案手续，并于2023年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12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月</w:t>
      </w:r>
      <w:r>
        <w:rPr>
          <w:rFonts w:hint="eastAsia" w:cs="宋体" w:asciiTheme="minorEastAsia" w:hAnsiTheme="minorEastAsia" w:eastAsiaTheme="minorEastAsia"/>
          <w:sz w:val="24"/>
          <w:szCs w:val="23"/>
          <w:lang w:val="en-US" w:eastAsia="zh-CN"/>
        </w:rPr>
        <w:t>08</w:t>
      </w:r>
      <w:r>
        <w:rPr>
          <w:rFonts w:hint="eastAsia" w:cs="宋体" w:asciiTheme="minorEastAsia" w:hAnsiTheme="minorEastAsia" w:eastAsiaTheme="minorEastAsia"/>
          <w:sz w:val="24"/>
          <w:szCs w:val="23"/>
        </w:rPr>
        <w:t>日取得了变更后的《营业执照》。具体情况如下：</w:t>
      </w:r>
    </w:p>
    <w:p>
      <w:pPr>
        <w:adjustRightInd/>
        <w:snapToGrid/>
        <w:spacing w:before="120" w:beforeLines="50" w:after="120" w:afterLines="50" w:line="360" w:lineRule="auto"/>
        <w:ind w:firstLine="482" w:firstLineChars="200"/>
        <w:rPr>
          <w:rFonts w:hint="eastAsia" w:cs="宋体" w:asciiTheme="minorEastAsia" w:hAnsiTheme="minorEastAsia" w:eastAsiaTheme="minorEastAsia"/>
          <w:b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3"/>
        </w:rPr>
        <w:t>一、 本次工商变更主要事项</w:t>
      </w:r>
    </w:p>
    <w:tbl>
      <w:tblPr>
        <w:tblStyle w:val="7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0"/>
        <w:gridCol w:w="34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224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jc w:val="both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变更项目</w:t>
            </w:r>
          </w:p>
        </w:tc>
        <w:tc>
          <w:tcPr>
            <w:tcW w:w="344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jc w:val="both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原登记内容</w:t>
            </w:r>
          </w:p>
        </w:tc>
        <w:tc>
          <w:tcPr>
            <w:tcW w:w="320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jc w:val="both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变更后登记内容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240" w:type="dxa"/>
            <w:vAlign w:val="center"/>
          </w:tcPr>
          <w:p>
            <w:pPr>
              <w:pStyle w:val="13"/>
              <w:spacing w:after="240" w:line="360" w:lineRule="auto"/>
              <w:ind w:firstLine="463" w:firstLineChars="193"/>
              <w:jc w:val="both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注册资本</w:t>
            </w:r>
          </w:p>
        </w:tc>
        <w:tc>
          <w:tcPr>
            <w:tcW w:w="3440" w:type="dxa"/>
            <w:vAlign w:val="center"/>
          </w:tcPr>
          <w:p>
            <w:pPr>
              <w:pStyle w:val="13"/>
              <w:spacing w:after="240" w:line="360" w:lineRule="auto"/>
              <w:ind w:firstLine="463" w:firstLineChars="193"/>
              <w:jc w:val="both"/>
              <w:rPr>
                <w:rFonts w:asciiTheme="minorEastAsia" w:hAnsiTheme="minorEastAsia" w:eastAsiaTheme="minorEastAsi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21,954.0292</w:t>
            </w:r>
            <w:r>
              <w:rPr>
                <w:rFonts w:hint="eastAsia" w:asciiTheme="minorEastAsia" w:hAnsiTheme="minorEastAsia" w:eastAsiaTheme="minorEastAsia"/>
              </w:rPr>
              <w:t>万元</w:t>
            </w:r>
          </w:p>
        </w:tc>
        <w:tc>
          <w:tcPr>
            <w:tcW w:w="3200" w:type="dxa"/>
            <w:vAlign w:val="center"/>
          </w:tcPr>
          <w:p>
            <w:pPr>
              <w:pStyle w:val="13"/>
              <w:spacing w:after="240" w:line="360" w:lineRule="auto"/>
              <w:ind w:firstLine="463" w:firstLineChars="193"/>
              <w:jc w:val="both"/>
              <w:rPr>
                <w:rFonts w:asciiTheme="minorEastAsia" w:hAnsiTheme="minorEastAsia" w:eastAsiaTheme="minorEastAsi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21,936.8887</w:t>
            </w:r>
            <w:r>
              <w:rPr>
                <w:rFonts w:hint="eastAsia" w:asciiTheme="minorEastAsia" w:hAnsiTheme="minorEastAsia" w:eastAsiaTheme="minorEastAsia"/>
              </w:rPr>
              <w:t>万元</w:t>
            </w:r>
          </w:p>
        </w:tc>
      </w:tr>
    </w:tbl>
    <w:p>
      <w:pPr>
        <w:adjustRightInd/>
        <w:snapToGrid/>
        <w:spacing w:before="120" w:beforeLines="50" w:after="120" w:afterLines="50" w:line="360" w:lineRule="auto"/>
        <w:ind w:firstLine="482" w:firstLineChars="200"/>
        <w:rPr>
          <w:rFonts w:hint="eastAsia" w:cs="宋体" w:asciiTheme="minorEastAsia" w:hAnsiTheme="minorEastAsia" w:eastAsiaTheme="minorEastAsia"/>
          <w:b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3"/>
        </w:rPr>
        <w:t>二、 新取得营业执照的基本信息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（一）统一社会信用代码：91370200614257783M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（二）名    称：青岛伟隆阀门股份有限公司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（三）类    型：股份有限公司（上市、自然人投资或控股）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（四）住    所：山东省青岛市高新区春阳路789号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（五）法定代表人：范庆伟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（六）注册资本：</w:t>
      </w:r>
      <w:r>
        <w:rPr>
          <w:rFonts w:hint="eastAsia" w:cs="宋体" w:asciiTheme="minorEastAsia" w:hAnsiTheme="minorEastAsia" w:eastAsiaTheme="minorEastAsia"/>
          <w:sz w:val="24"/>
          <w:szCs w:val="23"/>
          <w:lang w:eastAsia="zh-CN"/>
        </w:rPr>
        <w:t>贰亿壹仟玖佰叁拾陆万捌仟捌佰捌拾柒元整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（七）成立日期：1995年06月08日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（八）营业期限：1995年06月08日 至 长期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>（九）经营范围：制造销售消防阀门、消防栓、消防设备配件 （不含国家限制品种）、阀门及其配件、管件、机械配件，批发、零售工艺品、服装鞋帽、 五金、化工产品（不含危险化学品）、普通机械、建筑材料、计算机及其配件，货物进出口、 技术进出口；海洋水质与生态环境监测仪器设备销售；海洋环境监测与探测装备销售；导航、测绘、气象及海洋专用仪器销售；海洋环境服务；海洋工程关键配套系统开发；海洋工程装备销售；制造、销售汽车农机零部件；制造、销售机床床身及零部件；制造销售密封件、橡胶制品；（法律、行政法规禁止的项目除外；法律、行政法规限制的项目取得许可后方可经营。 （依法须经批准的项目，经相关部门批准后方可开展经营活动）。</w:t>
      </w:r>
    </w:p>
    <w:p>
      <w:pPr>
        <w:adjustRightInd/>
        <w:snapToGrid/>
        <w:spacing w:before="120" w:beforeLines="50" w:after="120" w:afterLines="50" w:line="360" w:lineRule="auto"/>
        <w:ind w:firstLine="480" w:firstLineChars="200"/>
        <w:jc w:val="both"/>
        <w:rPr>
          <w:rFonts w:hint="eastAsia" w:cs="宋体" w:asciiTheme="minorEastAsia" w:hAnsiTheme="minorEastAsia" w:eastAsiaTheme="minorEastAsia"/>
          <w:sz w:val="24"/>
          <w:szCs w:val="23"/>
        </w:rPr>
      </w:pPr>
      <w:r>
        <w:rPr>
          <w:rFonts w:hint="eastAsia" w:cs="宋体" w:asciiTheme="minorEastAsia" w:hAnsiTheme="minorEastAsia" w:eastAsiaTheme="minorEastAsia"/>
          <w:sz w:val="24"/>
          <w:szCs w:val="23"/>
        </w:rPr>
        <w:t xml:space="preserve">特此公告。  </w:t>
      </w:r>
    </w:p>
    <w:p>
      <w:pPr>
        <w:pStyle w:val="13"/>
        <w:ind w:left="4840" w:leftChars="2200" w:firstLine="456" w:firstLineChars="19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青岛伟隆阀门股份有限公司</w:t>
      </w:r>
    </w:p>
    <w:p>
      <w:pPr>
        <w:pStyle w:val="13"/>
        <w:ind w:left="4840" w:leftChars="2200" w:firstLine="1538" w:firstLineChars="641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董事会</w:t>
      </w:r>
    </w:p>
    <w:p>
      <w:pPr>
        <w:pStyle w:val="13"/>
        <w:ind w:left="4840" w:leftChars="2200" w:firstLine="1099" w:firstLineChars="458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2023年</w:t>
      </w:r>
      <w:r>
        <w:rPr>
          <w:rFonts w:hint="eastAsia" w:asciiTheme="minorEastAsia" w:hAnsiTheme="minorEastAsia" w:eastAsiaTheme="minorEastAsia"/>
          <w:lang w:val="en-US" w:eastAsia="zh-CN"/>
        </w:rPr>
        <w:t>12</w:t>
      </w:r>
      <w:r>
        <w:rPr>
          <w:rFonts w:hint="eastAsia" w:asciiTheme="minorEastAsia" w:hAnsiTheme="minorEastAsia" w:eastAsiaTheme="minorEastAsia"/>
        </w:rPr>
        <w:t>月</w:t>
      </w:r>
      <w:r>
        <w:rPr>
          <w:rFonts w:hint="default" w:asciiTheme="minorEastAsia" w:hAnsiTheme="minorEastAsia" w:eastAsiaTheme="minorEastAsia"/>
          <w:lang w:val="en-US" w:eastAsia="zh-CN"/>
        </w:rPr>
        <w:t>12</w:t>
      </w:r>
      <w:bookmarkStart w:id="2" w:name="_GoBack"/>
      <w:bookmarkEnd w:id="2"/>
      <w:r>
        <w:rPr>
          <w:rFonts w:hint="eastAsia" w:asciiTheme="minorEastAsia" w:hAnsiTheme="minorEastAsia" w:eastAsiaTheme="minorEastAsia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